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DB" w:rsidRPr="004844EB" w:rsidRDefault="00D50B11" w:rsidP="004844EB">
      <w:pPr>
        <w:pStyle w:val="berschrift2"/>
        <w:rPr>
          <w:lang w:val="de-CH"/>
        </w:rPr>
      </w:pPr>
      <w:bookmarkStart w:id="0" w:name="_Toc1"/>
      <w:r w:rsidRPr="004844EB">
        <w:rPr>
          <w:lang w:val="de-CH"/>
        </w:rPr>
        <w:t>Wirkung von Medikamenten</w:t>
      </w:r>
      <w:bookmarkEnd w:id="0"/>
    </w:p>
    <w:p w:rsidR="00CC03DB" w:rsidRPr="004844EB" w:rsidRDefault="00D50B11">
      <w:pPr>
        <w:pStyle w:val="berschrift3"/>
        <w:rPr>
          <w:lang w:val="de-CH"/>
        </w:rPr>
      </w:pPr>
      <w:bookmarkStart w:id="1" w:name="_Toc3"/>
      <w:r w:rsidRPr="004844EB">
        <w:rPr>
          <w:lang w:val="de-CH"/>
        </w:rPr>
        <w:t>A</w:t>
      </w:r>
      <w:r w:rsidRPr="004844EB">
        <w:rPr>
          <w:lang w:val="de-CH"/>
        </w:rPr>
        <w:t>UFGABE B</w:t>
      </w:r>
      <w:bookmarkEnd w:id="1"/>
    </w:p>
    <w:p w:rsidR="00D12CE8" w:rsidRDefault="00D50B11">
      <w:pPr>
        <w:pStyle w:val="berschrift4"/>
        <w:rPr>
          <w:b/>
          <w:bCs/>
          <w:lang w:val="de-CH"/>
        </w:rPr>
      </w:pPr>
      <w:r w:rsidRPr="004844EB">
        <w:rPr>
          <w:b/>
          <w:bCs/>
          <w:lang w:val="de-CH"/>
        </w:rPr>
        <w:t>Wie unterscheiden sich Medikamente in ihrer Wirkung?</w:t>
      </w:r>
      <w:r w:rsidR="004844EB">
        <w:rPr>
          <w:b/>
          <w:bCs/>
          <w:lang w:val="de-CH"/>
        </w:rPr>
        <w:t xml:space="preserve"> </w:t>
      </w:r>
    </w:p>
    <w:p w:rsidR="00CC03DB" w:rsidRPr="004844EB" w:rsidRDefault="004844EB">
      <w:pPr>
        <w:pStyle w:val="berschrift4"/>
        <w:rPr>
          <w:lang w:val="de-CH"/>
        </w:rPr>
      </w:pPr>
      <w:r>
        <w:rPr>
          <w:b/>
          <w:bCs/>
          <w:lang w:val="de-CH"/>
        </w:rPr>
        <w:t xml:space="preserve">- </w:t>
      </w:r>
      <w:r w:rsidR="00D50B11" w:rsidRPr="00B93209">
        <w:rPr>
          <w:b/>
          <w:bCs/>
          <w:lang w:val="de-CH"/>
        </w:rPr>
        <w:t>Messung PH Wert in einer sauren Lösung (= Magen)</w:t>
      </w:r>
    </w:p>
    <w:p w:rsidR="00CC03DB" w:rsidRPr="004844EB" w:rsidRDefault="00D50B11">
      <w:pPr>
        <w:rPr>
          <w:lang w:val="de-CH"/>
        </w:rPr>
      </w:pPr>
      <w:r w:rsidRPr="004844EB">
        <w:rPr>
          <w:b/>
          <w:bCs/>
          <w:lang w:val="de-CH"/>
        </w:rPr>
        <w:t>Du benötigst folgendes Material:</w:t>
      </w:r>
    </w:p>
    <w:p w:rsidR="00CC03DB" w:rsidRPr="004844EB" w:rsidRDefault="00D50B11">
      <w:pPr>
        <w:rPr>
          <w:lang w:val="de-CH"/>
        </w:rPr>
      </w:pPr>
      <w:r w:rsidRPr="004844EB">
        <w:rPr>
          <w:b/>
          <w:bCs/>
          <w:lang w:val="de-CH"/>
        </w:rPr>
        <w:t>Wichtig für die Sicherheit</w:t>
      </w:r>
      <w:r w:rsidRPr="004844EB">
        <w:rPr>
          <w:lang w:val="de-CH"/>
        </w:rPr>
        <w:t>:</w:t>
      </w:r>
      <w:r w:rsidR="004844EB">
        <w:rPr>
          <w:lang w:val="de-CH"/>
        </w:rPr>
        <w:t xml:space="preserve"> </w:t>
      </w:r>
      <w:r w:rsidRPr="004844EB">
        <w:rPr>
          <w:lang w:val="de-CH"/>
        </w:rPr>
        <w:t>Salzsäure ist ätzend. Bitte Schutzbrille und Labormantel tragen und Spritzer sofort reinigen.</w:t>
      </w:r>
    </w:p>
    <w:p w:rsidR="00CC03DB" w:rsidRPr="004844EB" w:rsidRDefault="00D50B11">
      <w:pPr>
        <w:numPr>
          <w:ilvl w:val="0"/>
          <w:numId w:val="1"/>
        </w:numPr>
        <w:rPr>
          <w:lang w:val="de-CH"/>
        </w:rPr>
      </w:pPr>
      <w:r w:rsidRPr="004844EB">
        <w:rPr>
          <w:lang w:val="de-CH"/>
        </w:rPr>
        <w:t>Verschiedene Medikamente, z</w:t>
      </w:r>
      <w:r w:rsidRPr="004844EB">
        <w:rPr>
          <w:lang w:val="de-CH"/>
        </w:rPr>
        <w:t xml:space="preserve">.B. </w:t>
      </w:r>
      <w:proofErr w:type="spellStart"/>
      <w:r w:rsidRPr="004844EB">
        <w:rPr>
          <w:lang w:val="de-CH"/>
        </w:rPr>
        <w:t>Bullrich</w:t>
      </w:r>
      <w:proofErr w:type="spellEnd"/>
      <w:r w:rsidRPr="004844EB">
        <w:rPr>
          <w:lang w:val="de-CH"/>
        </w:rPr>
        <w:t xml:space="preserve"> Salz®, </w:t>
      </w:r>
      <w:proofErr w:type="spellStart"/>
      <w:r w:rsidRPr="004844EB">
        <w:rPr>
          <w:lang w:val="de-CH"/>
        </w:rPr>
        <w:t>tetesept</w:t>
      </w:r>
      <w:proofErr w:type="spellEnd"/>
      <w:r w:rsidRPr="004844EB">
        <w:rPr>
          <w:lang w:val="de-CH"/>
        </w:rPr>
        <w:t xml:space="preserve"> Sodbrennen akut®, </w:t>
      </w:r>
      <w:proofErr w:type="spellStart"/>
      <w:r w:rsidRPr="004844EB">
        <w:rPr>
          <w:lang w:val="de-CH"/>
        </w:rPr>
        <w:t>Alucol</w:t>
      </w:r>
      <w:proofErr w:type="spellEnd"/>
      <w:r w:rsidRPr="004844EB">
        <w:rPr>
          <w:lang w:val="de-CH"/>
        </w:rPr>
        <w:t xml:space="preserve">®, </w:t>
      </w:r>
      <w:proofErr w:type="spellStart"/>
      <w:r w:rsidRPr="004844EB">
        <w:rPr>
          <w:lang w:val="de-CH"/>
        </w:rPr>
        <w:t>Talcid</w:t>
      </w:r>
      <w:proofErr w:type="spellEnd"/>
      <w:r w:rsidRPr="004844EB">
        <w:rPr>
          <w:lang w:val="de-CH"/>
        </w:rPr>
        <w:t>®</w:t>
      </w:r>
    </w:p>
    <w:p w:rsidR="00CC03DB" w:rsidRDefault="00D50B11">
      <w:pPr>
        <w:numPr>
          <w:ilvl w:val="0"/>
          <w:numId w:val="1"/>
        </w:numPr>
      </w:pPr>
      <w:proofErr w:type="spellStart"/>
      <w:r>
        <w:t>Schutzbrille</w:t>
      </w:r>
      <w:proofErr w:type="spellEnd"/>
    </w:p>
    <w:p w:rsidR="00CC03DB" w:rsidRDefault="004844EB" w:rsidP="00D50B11">
      <w:pPr>
        <w:numPr>
          <w:ilvl w:val="0"/>
          <w:numId w:val="3"/>
        </w:numPr>
      </w:pPr>
      <w:proofErr w:type="spellStart"/>
      <w:r>
        <w:t>Salzsäure</w:t>
      </w:r>
      <w:proofErr w:type="spellEnd"/>
      <w:r>
        <w:t xml:space="preserve"> </w:t>
      </w:r>
      <w:r w:rsidR="00D50B11">
        <w:t>0,1 %</w:t>
      </w:r>
      <w:proofErr w:type="spellStart"/>
      <w:r w:rsidR="00D50B11">
        <w:t>ig</w:t>
      </w:r>
      <w:proofErr w:type="spellEnd"/>
    </w:p>
    <w:p w:rsidR="00D50B11" w:rsidRPr="00D50B11" w:rsidRDefault="00D50B11" w:rsidP="00D50B11">
      <w:pPr>
        <w:numPr>
          <w:ilvl w:val="0"/>
          <w:numId w:val="3"/>
        </w:numPr>
        <w:rPr>
          <w:lang w:val="de-CH"/>
        </w:rPr>
      </w:pPr>
      <w:r w:rsidRPr="00B93209">
        <w:rPr>
          <w:lang w:val="de-CH"/>
        </w:rPr>
        <w:t>Universalindikator (Bereich pH 1-10) und pH Papier</w:t>
      </w:r>
    </w:p>
    <w:p w:rsidR="00CC03DB" w:rsidRDefault="00D50B11">
      <w:pPr>
        <w:numPr>
          <w:ilvl w:val="0"/>
          <w:numId w:val="1"/>
        </w:numPr>
      </w:pPr>
      <w:r>
        <w:t xml:space="preserve">4 </w:t>
      </w:r>
      <w:proofErr w:type="spellStart"/>
      <w:r>
        <w:t>Erlenmeyerkolben</w:t>
      </w:r>
      <w:proofErr w:type="spellEnd"/>
      <w:r>
        <w:t xml:space="preserve"> 5</w:t>
      </w:r>
      <w:r>
        <w:t>00ml</w:t>
      </w:r>
    </w:p>
    <w:p w:rsidR="00CC03DB" w:rsidRDefault="00D50B11">
      <w:pPr>
        <w:numPr>
          <w:ilvl w:val="0"/>
          <w:numId w:val="1"/>
        </w:numPr>
      </w:pPr>
      <w:proofErr w:type="spellStart"/>
      <w:r>
        <w:t>Mörser</w:t>
      </w:r>
      <w:proofErr w:type="spellEnd"/>
      <w:r>
        <w:t xml:space="preserve">, </w:t>
      </w:r>
      <w:proofErr w:type="spellStart"/>
      <w:r>
        <w:t>Pistill</w:t>
      </w:r>
      <w:proofErr w:type="spellEnd"/>
    </w:p>
    <w:p w:rsidR="00CC03DB" w:rsidRDefault="00D50B11">
      <w:pPr>
        <w:numPr>
          <w:ilvl w:val="0"/>
          <w:numId w:val="1"/>
        </w:numPr>
      </w:pPr>
      <w:proofErr w:type="spellStart"/>
      <w:r>
        <w:t>kleiner</w:t>
      </w:r>
      <w:proofErr w:type="spellEnd"/>
      <w:r>
        <w:t xml:space="preserve"> </w:t>
      </w:r>
      <w:proofErr w:type="spellStart"/>
      <w:r>
        <w:t>Trichter</w:t>
      </w:r>
      <w:proofErr w:type="spellEnd"/>
    </w:p>
    <w:p w:rsidR="00CC03DB" w:rsidRDefault="00D50B11">
      <w:proofErr w:type="spellStart"/>
      <w:r>
        <w:rPr>
          <w:b/>
          <w:bCs/>
        </w:rPr>
        <w:t>Ablauf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Versuches</w:t>
      </w:r>
      <w:proofErr w:type="spellEnd"/>
      <w:r>
        <w:rPr>
          <w:b/>
          <w:bCs/>
        </w:rPr>
        <w:t xml:space="preserve"> </w:t>
      </w:r>
    </w:p>
    <w:p w:rsidR="00D50B11" w:rsidRPr="00D50B11" w:rsidRDefault="00D50B11" w:rsidP="00D50B11">
      <w:pPr>
        <w:numPr>
          <w:ilvl w:val="0"/>
          <w:numId w:val="2"/>
        </w:numPr>
        <w:rPr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6350</wp:posOffset>
            </wp:positionV>
            <wp:extent cx="2693670" cy="2025650"/>
            <wp:effectExtent l="0" t="0" r="0" b="0"/>
            <wp:wrapTight wrapText="bothSides">
              <wp:wrapPolygon edited="0">
                <wp:start x="0" y="0"/>
                <wp:lineTo x="0" y="21329"/>
                <wp:lineTo x="21386" y="21329"/>
                <wp:lineTo x="2138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B11">
        <w:rPr>
          <w:lang w:val="de-CH"/>
        </w:rPr>
        <w:t>Für alle Medikamente wird ein 500ml Erlenmeyerkolben etwa zur Hälfte mit 0,1%iger Salzsäure gefüllt. Dies entspricht einem durchschnittlichen Mageninhalt. Färbe die Lösung mit einigen Tropfen flüssigem Universalindikator an (siehe Bild).</w:t>
      </w:r>
      <w:r>
        <w:rPr>
          <w:lang w:val="de-CH"/>
        </w:rPr>
        <w:t xml:space="preserve"> </w:t>
      </w:r>
      <w:proofErr w:type="spellStart"/>
      <w:r>
        <w:rPr>
          <w:b/>
          <w:bCs/>
        </w:rPr>
        <w:t>Welchem</w:t>
      </w:r>
      <w:proofErr w:type="spellEnd"/>
      <w:r>
        <w:rPr>
          <w:b/>
          <w:bCs/>
        </w:rPr>
        <w:t xml:space="preserve"> pH-Wert </w:t>
      </w:r>
      <w:proofErr w:type="spellStart"/>
      <w:r>
        <w:rPr>
          <w:b/>
          <w:bCs/>
        </w:rPr>
        <w:t>entspricht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Färbung</w:t>
      </w:r>
      <w:proofErr w:type="spellEnd"/>
      <w:r>
        <w:rPr>
          <w:b/>
          <w:bCs/>
        </w:rPr>
        <w:t>?</w:t>
      </w:r>
    </w:p>
    <w:p w:rsidR="00D50B11" w:rsidRDefault="00D50B11" w:rsidP="00D50B11">
      <w:pPr>
        <w:numPr>
          <w:ilvl w:val="0"/>
          <w:numId w:val="2"/>
        </w:numPr>
        <w:rPr>
          <w:lang w:val="de-CH"/>
        </w:rPr>
      </w:pPr>
      <w:r w:rsidRPr="00D50B11">
        <w:rPr>
          <w:lang w:val="de-CH"/>
        </w:rPr>
        <w:t xml:space="preserve">Pulverisiere zwei Tabletten vom ersten </w:t>
      </w:r>
      <w:proofErr w:type="spellStart"/>
      <w:r w:rsidRPr="00D50B11">
        <w:rPr>
          <w:lang w:val="de-CH"/>
        </w:rPr>
        <w:t>Antazid</w:t>
      </w:r>
      <w:proofErr w:type="spellEnd"/>
      <w:r w:rsidRPr="00D50B11">
        <w:rPr>
          <w:lang w:val="de-CH"/>
        </w:rPr>
        <w:t xml:space="preserve"> (z.B. </w:t>
      </w:r>
      <w:proofErr w:type="spellStart"/>
      <w:r w:rsidRPr="00D50B11">
        <w:rPr>
          <w:lang w:val="de-CH"/>
        </w:rPr>
        <w:t>Tetesept</w:t>
      </w:r>
      <w:proofErr w:type="spellEnd"/>
      <w:r w:rsidRPr="00D50B11">
        <w:rPr>
          <w:lang w:val="de-CH"/>
        </w:rPr>
        <w:t xml:space="preserve">) und gib das Pulver in den ersten mit Salzsäure gefüllten Erlenmeyerkolben. Säubere Mörser und Pistill und fahre für jedes </w:t>
      </w:r>
      <w:proofErr w:type="spellStart"/>
      <w:r w:rsidRPr="00D50B11">
        <w:rPr>
          <w:lang w:val="de-CH"/>
        </w:rPr>
        <w:t>Antazid</w:t>
      </w:r>
      <w:proofErr w:type="spellEnd"/>
      <w:r w:rsidRPr="00D50B11">
        <w:rPr>
          <w:lang w:val="de-CH"/>
        </w:rPr>
        <w:t xml:space="preserve"> gleichermassen fort. Schwenke die Erlenmeyer leicht. </w:t>
      </w:r>
      <w:r w:rsidRPr="00D50B11">
        <w:rPr>
          <w:b/>
          <w:lang w:val="de-CH"/>
        </w:rPr>
        <w:t>Miss den pH-Wert zusätzlich mit pH-Papier</w:t>
      </w:r>
      <w:r w:rsidRPr="00D50B11">
        <w:rPr>
          <w:lang w:val="de-CH"/>
        </w:rPr>
        <w:t xml:space="preserve">. </w:t>
      </w:r>
    </w:p>
    <w:p w:rsidR="00CC03DB" w:rsidRPr="00D50B11" w:rsidRDefault="00D50B11" w:rsidP="00D50B11">
      <w:pPr>
        <w:rPr>
          <w:lang w:val="de-CH"/>
        </w:rPr>
      </w:pPr>
      <w:r w:rsidRPr="00D50B11">
        <w:rPr>
          <w:b/>
          <w:bCs/>
          <w:lang w:val="de-CH"/>
        </w:rPr>
        <w:lastRenderedPageBreak/>
        <w:t>Was passiert?</w:t>
      </w:r>
    </w:p>
    <w:p w:rsidR="00CC03DB" w:rsidRDefault="00D50B11">
      <w:pPr>
        <w:rPr>
          <w:lang w:val="de-CH"/>
        </w:rPr>
      </w:pPr>
      <w:r w:rsidRPr="004844EB">
        <w:rPr>
          <w:lang w:val="de-CH"/>
        </w:rPr>
        <w:t>Trage deine Beobachtungen in eine Tabelle ein. Fahre mit den anderen Ballonen gleichermassen fort.</w:t>
      </w:r>
    </w:p>
    <w:p w:rsidR="004844EB" w:rsidRDefault="004844EB">
      <w:pPr>
        <w:rPr>
          <w:lang w:val="de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4844EB" w:rsidRPr="00D50B11" w:rsidTr="00A375CB">
        <w:trPr>
          <w:trHeight w:val="828"/>
        </w:trPr>
        <w:tc>
          <w:tcPr>
            <w:tcW w:w="2689" w:type="dxa"/>
            <w:tcBorders>
              <w:tl2br w:val="single" w:sz="4" w:space="0" w:color="auto"/>
            </w:tcBorders>
            <w:shd w:val="clear" w:color="auto" w:fill="92D050"/>
          </w:tcPr>
          <w:p w:rsidR="004844EB" w:rsidRPr="00D50B11" w:rsidRDefault="004844EB" w:rsidP="00A375CB">
            <w:pPr>
              <w:jc w:val="right"/>
              <w:rPr>
                <w:b/>
                <w:sz w:val="18"/>
                <w:szCs w:val="18"/>
              </w:rPr>
            </w:pPr>
            <w:r w:rsidRPr="00D50B11">
              <w:rPr>
                <w:b/>
                <w:sz w:val="18"/>
                <w:szCs w:val="18"/>
              </w:rPr>
              <w:t>Beobachtung</w:t>
            </w:r>
          </w:p>
          <w:p w:rsidR="004844EB" w:rsidRPr="00EB02CA" w:rsidRDefault="004844EB" w:rsidP="00A375CB">
            <w:pPr>
              <w:rPr>
                <w:sz w:val="18"/>
                <w:szCs w:val="18"/>
              </w:rPr>
            </w:pPr>
          </w:p>
          <w:p w:rsidR="004844EB" w:rsidRPr="00D50B11" w:rsidRDefault="004844EB" w:rsidP="00A375CB">
            <w:pPr>
              <w:rPr>
                <w:b/>
                <w:sz w:val="18"/>
                <w:szCs w:val="18"/>
              </w:rPr>
            </w:pPr>
            <w:r w:rsidRPr="00D50B11">
              <w:rPr>
                <w:b/>
                <w:sz w:val="18"/>
                <w:szCs w:val="18"/>
              </w:rPr>
              <w:t>Medikament</w:t>
            </w:r>
          </w:p>
        </w:tc>
        <w:tc>
          <w:tcPr>
            <w:tcW w:w="6662" w:type="dxa"/>
            <w:shd w:val="clear" w:color="auto" w:fill="92D050"/>
          </w:tcPr>
          <w:p w:rsidR="004844EB" w:rsidRPr="00D50B11" w:rsidRDefault="00D50B11" w:rsidP="00A375CB">
            <w:pPr>
              <w:jc w:val="center"/>
              <w:rPr>
                <w:b/>
                <w:sz w:val="18"/>
                <w:szCs w:val="18"/>
              </w:rPr>
            </w:pPr>
            <w:r w:rsidRPr="00D50B11">
              <w:rPr>
                <w:b/>
                <w:sz w:val="18"/>
                <w:szCs w:val="18"/>
              </w:rPr>
              <w:t>Chemische Aspekte</w:t>
            </w:r>
          </w:p>
          <w:p w:rsidR="00D50B11" w:rsidRPr="00EB02CA" w:rsidRDefault="00D50B11" w:rsidP="00A375CB">
            <w:pPr>
              <w:jc w:val="center"/>
              <w:rPr>
                <w:sz w:val="18"/>
                <w:szCs w:val="18"/>
              </w:rPr>
            </w:pPr>
            <w:r w:rsidRPr="00D50B11">
              <w:rPr>
                <w:b/>
                <w:sz w:val="18"/>
                <w:szCs w:val="18"/>
              </w:rPr>
              <w:t>pH-Wert am Ende bei zwei Tabletten</w:t>
            </w:r>
          </w:p>
        </w:tc>
      </w:tr>
      <w:tr w:rsidR="004844EB" w:rsidRPr="00EB02CA" w:rsidTr="00D50B11">
        <w:trPr>
          <w:trHeight w:val="850"/>
        </w:trPr>
        <w:tc>
          <w:tcPr>
            <w:tcW w:w="2689" w:type="dxa"/>
            <w:vAlign w:val="center"/>
          </w:tcPr>
          <w:p w:rsidR="004844EB" w:rsidRPr="00EB02CA" w:rsidRDefault="004844EB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Bullrich</w:t>
            </w:r>
            <w:proofErr w:type="spellEnd"/>
            <w:r w:rsidRPr="00EB02CA">
              <w:rPr>
                <w:sz w:val="18"/>
                <w:szCs w:val="18"/>
              </w:rPr>
              <w:t xml:space="preserve"> Salz</w:t>
            </w:r>
            <w:r w:rsidRPr="00EB02CA">
              <w:rPr>
                <w:rFonts w:cs="Arial"/>
                <w:sz w:val="18"/>
                <w:szCs w:val="18"/>
              </w:rPr>
              <w:t>®</w:t>
            </w:r>
          </w:p>
        </w:tc>
        <w:tc>
          <w:tcPr>
            <w:tcW w:w="6662" w:type="dxa"/>
          </w:tcPr>
          <w:p w:rsidR="004844EB" w:rsidRPr="00EB02CA" w:rsidRDefault="004844EB" w:rsidP="00A375CB">
            <w:pPr>
              <w:rPr>
                <w:sz w:val="18"/>
                <w:szCs w:val="18"/>
              </w:rPr>
            </w:pPr>
          </w:p>
        </w:tc>
      </w:tr>
      <w:tr w:rsidR="004844EB" w:rsidRPr="00EB02CA" w:rsidTr="00D50B11">
        <w:trPr>
          <w:trHeight w:val="850"/>
        </w:trPr>
        <w:tc>
          <w:tcPr>
            <w:tcW w:w="2689" w:type="dxa"/>
            <w:vAlign w:val="center"/>
          </w:tcPr>
          <w:p w:rsidR="00D50B11" w:rsidRDefault="00D50B11" w:rsidP="00A375CB">
            <w:pPr>
              <w:rPr>
                <w:sz w:val="18"/>
                <w:szCs w:val="18"/>
              </w:rPr>
            </w:pPr>
          </w:p>
          <w:p w:rsidR="004844EB" w:rsidRPr="00EB02CA" w:rsidRDefault="004844EB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tetesept</w:t>
            </w:r>
            <w:proofErr w:type="spellEnd"/>
            <w:r w:rsidRPr="00EB02CA">
              <w:rPr>
                <w:sz w:val="18"/>
                <w:szCs w:val="18"/>
              </w:rPr>
              <w:t xml:space="preserve"> Sodbrennen akut</w:t>
            </w:r>
            <w:r w:rsidRPr="00EB02CA">
              <w:rPr>
                <w:rFonts w:cs="Arial"/>
                <w:sz w:val="18"/>
                <w:szCs w:val="18"/>
              </w:rPr>
              <w:t>®</w:t>
            </w:r>
            <w:r w:rsidRPr="00EB02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p w:rsidR="004844EB" w:rsidRPr="00EB02CA" w:rsidRDefault="004844EB" w:rsidP="00A375CB">
            <w:pPr>
              <w:rPr>
                <w:sz w:val="18"/>
                <w:szCs w:val="18"/>
              </w:rPr>
            </w:pPr>
          </w:p>
        </w:tc>
      </w:tr>
      <w:tr w:rsidR="004844EB" w:rsidRPr="00EB02CA" w:rsidTr="00D50B11">
        <w:trPr>
          <w:trHeight w:val="850"/>
        </w:trPr>
        <w:tc>
          <w:tcPr>
            <w:tcW w:w="2689" w:type="dxa"/>
            <w:vAlign w:val="center"/>
          </w:tcPr>
          <w:p w:rsidR="00D50B11" w:rsidRDefault="00D50B11" w:rsidP="00A375CB">
            <w:pPr>
              <w:rPr>
                <w:sz w:val="18"/>
                <w:szCs w:val="18"/>
              </w:rPr>
            </w:pPr>
          </w:p>
          <w:p w:rsidR="004844EB" w:rsidRPr="00EB02CA" w:rsidRDefault="004844EB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Alucol</w:t>
            </w:r>
            <w:proofErr w:type="spellEnd"/>
            <w:r w:rsidRPr="00EB02CA">
              <w:rPr>
                <w:rFonts w:cs="Arial"/>
                <w:sz w:val="18"/>
                <w:szCs w:val="18"/>
              </w:rPr>
              <w:t>®</w:t>
            </w:r>
          </w:p>
        </w:tc>
        <w:tc>
          <w:tcPr>
            <w:tcW w:w="6662" w:type="dxa"/>
          </w:tcPr>
          <w:p w:rsidR="004844EB" w:rsidRPr="00EB02CA" w:rsidRDefault="004844EB" w:rsidP="00A375CB">
            <w:pPr>
              <w:rPr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4844EB" w:rsidRPr="00EB02CA" w:rsidTr="00D50B11">
        <w:trPr>
          <w:trHeight w:val="850"/>
        </w:trPr>
        <w:tc>
          <w:tcPr>
            <w:tcW w:w="2689" w:type="dxa"/>
            <w:vAlign w:val="center"/>
          </w:tcPr>
          <w:p w:rsidR="004844EB" w:rsidRDefault="004844EB" w:rsidP="00A375CB">
            <w:pPr>
              <w:rPr>
                <w:sz w:val="18"/>
                <w:szCs w:val="18"/>
              </w:rPr>
            </w:pPr>
          </w:p>
          <w:p w:rsidR="004844EB" w:rsidRPr="00EB02CA" w:rsidRDefault="004844EB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Talcid</w:t>
            </w:r>
            <w:proofErr w:type="spellEnd"/>
            <w:r w:rsidRPr="00EB02CA">
              <w:rPr>
                <w:rFonts w:cs="Arial"/>
                <w:sz w:val="18"/>
                <w:szCs w:val="18"/>
              </w:rPr>
              <w:t>®</w:t>
            </w:r>
          </w:p>
        </w:tc>
        <w:tc>
          <w:tcPr>
            <w:tcW w:w="6662" w:type="dxa"/>
          </w:tcPr>
          <w:p w:rsidR="004844EB" w:rsidRPr="00EB02CA" w:rsidRDefault="004844EB" w:rsidP="00A375CB">
            <w:pPr>
              <w:rPr>
                <w:sz w:val="18"/>
                <w:szCs w:val="18"/>
              </w:rPr>
            </w:pPr>
          </w:p>
        </w:tc>
      </w:tr>
    </w:tbl>
    <w:p w:rsidR="004844EB" w:rsidRPr="004844EB" w:rsidRDefault="004844EB">
      <w:pPr>
        <w:rPr>
          <w:lang w:val="de-CH"/>
        </w:rPr>
      </w:pPr>
    </w:p>
    <w:p w:rsidR="00CC03DB" w:rsidRDefault="00CC03DB"/>
    <w:sectPr w:rsidR="00CC03DB">
      <w:footerReference w:type="default" r:id="rId8"/>
      <w:headerReference w:type="first" r:id="rId9"/>
      <w:footerReference w:type="first" r:id="rId10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0B11">
      <w:pPr>
        <w:spacing w:after="0" w:line="240" w:lineRule="auto"/>
      </w:pPr>
      <w:r>
        <w:separator/>
      </w:r>
    </w:p>
  </w:endnote>
  <w:endnote w:type="continuationSeparator" w:id="0">
    <w:p w:rsidR="00000000" w:rsidRDefault="00D5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DB" w:rsidRPr="004844EB" w:rsidRDefault="00D50B11">
    <w:pPr>
      <w:pStyle w:val="center"/>
      <w:rPr>
        <w:lang w:val="de-CH"/>
      </w:rPr>
    </w:pPr>
    <w:r w:rsidRPr="004844EB">
      <w:rPr>
        <w:lang w:val="de-CH"/>
      </w:rPr>
      <w:t>Was steckt hinter einem Medikament?</w:t>
    </w:r>
  </w:p>
  <w:p w:rsidR="00CC03DB" w:rsidRDefault="00D50B11">
    <w:pPr>
      <w:jc w:val="center"/>
    </w:pPr>
    <w:r>
      <w:fldChar w:fldCharType="begin"/>
    </w:r>
    <w:r>
      <w:instrText>PAGE</w:instrText>
    </w:r>
    <w:r w:rsidR="004844EB"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DB" w:rsidRPr="004844EB" w:rsidRDefault="00D50B11">
    <w:pPr>
      <w:pStyle w:val="center"/>
      <w:rPr>
        <w:lang w:val="de-CH"/>
      </w:rPr>
    </w:pPr>
    <w:r w:rsidRPr="004844EB">
      <w:rPr>
        <w:lang w:val="de-CH"/>
      </w:rPr>
      <w:t>Was steckt hinter einem Medikament?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0B11">
      <w:pPr>
        <w:spacing w:after="0" w:line="240" w:lineRule="auto"/>
      </w:pPr>
      <w:r>
        <w:separator/>
      </w:r>
    </w:p>
  </w:footnote>
  <w:footnote w:type="continuationSeparator" w:id="0">
    <w:p w:rsidR="00000000" w:rsidRDefault="00D5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280"/>
      <w:gridCol w:w="3465"/>
    </w:tblGrid>
    <w:tr w:rsidR="00CC03D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C03DB" w:rsidRDefault="00D12CE8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9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</w:tcPr>
        <w:p w:rsidR="00CC03DB" w:rsidRDefault="00CC03DB"/>
      </w:tc>
      <w:tc>
        <w:tcPr>
          <w:tcW w:w="0" w:type="auto"/>
          <w:vAlign w:val="bottom"/>
        </w:tcPr>
        <w:p w:rsidR="00CC03DB" w:rsidRDefault="00D50B11">
          <w:r>
            <w:rPr>
              <w:rStyle w:val="headerFont"/>
            </w:rPr>
            <w:t>mint-erleben.lu.ch</w:t>
          </w:r>
        </w:p>
      </w:tc>
    </w:tr>
  </w:tbl>
  <w:p w:rsidR="00CC03DB" w:rsidRDefault="00CC0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F4AF"/>
    <w:multiLevelType w:val="hybridMultilevel"/>
    <w:tmpl w:val="06181F22"/>
    <w:lvl w:ilvl="0" w:tplc="C638C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421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8E6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57C7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949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2E0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FB2D0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1788F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80A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3E659"/>
    <w:multiLevelType w:val="multilevel"/>
    <w:tmpl w:val="614C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BBDDE"/>
    <w:multiLevelType w:val="hybridMultilevel"/>
    <w:tmpl w:val="38D234A6"/>
    <w:lvl w:ilvl="0" w:tplc="0C3CA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089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C3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FE0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2E2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CC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B04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DAE6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E1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B"/>
    <w:rsid w:val="002C61A6"/>
    <w:rsid w:val="004844EB"/>
    <w:rsid w:val="009F0713"/>
    <w:rsid w:val="00CC03DB"/>
    <w:rsid w:val="00D12CE8"/>
    <w:rsid w:val="00D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9D84131"/>
  <w15:docId w15:val="{135F92ED-030C-4AD0-A277-2E2C21A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2B7565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2B7565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2B7565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2B7565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table" w:styleId="Tabellenraster">
    <w:name w:val="Table Grid"/>
    <w:basedOn w:val="NormaleTabelle"/>
    <w:rsid w:val="004844EB"/>
    <w:pPr>
      <w:spacing w:after="0" w:line="240" w:lineRule="auto"/>
    </w:pPr>
    <w:rPr>
      <w:rFonts w:eastAsia="Times New Roman" w:cs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3</cp:revision>
  <dcterms:created xsi:type="dcterms:W3CDTF">2021-03-15T13:44:00Z</dcterms:created>
  <dcterms:modified xsi:type="dcterms:W3CDTF">2021-03-15T13:50:00Z</dcterms:modified>
  <cp:category/>
</cp:coreProperties>
</file>